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160" w:line="276" w:lineRule="auto"/>
        <w:jc w:val="center"/>
      </w:pPr>
      <w:r>
        <w:rPr>
          <w:b/>
          <w:color w:val="504028"/>
          <w:sz w:val="32"/>
        </w:rPr>
        <w:t>SĪKDATŅU POLITIKA</w:t>
      </w:r>
    </w:p>
    <w:p>
      <w:pPr>
        <w:spacing w:before="0" w:after="240" w:line="276" w:lineRule="auto"/>
        <w:jc w:val="center"/>
      </w:pPr>
      <w:r>
        <w:rPr>
          <w:i/>
          <w:sz w:val="21"/>
        </w:rPr>
        <w:t>SIA Laury mājaslapai</w:t>
      </w:r>
    </w:p>
    <w:p>
      <w:pPr>
        <w:spacing w:before="0" w:after="100" w:line="276" w:lineRule="auto"/>
      </w:pPr>
      <w:r>
        <w:t>Šī sīkdatņu politika skaidro, kā SIA Laury mājaslapā tiek izmantotas sīkdatnes un līdzīgas tehnoloģijas, kā arī to, kā lietotājs var pārvaldīt savas izvēles.</w:t>
      </w:r>
    </w:p>
    <w:p>
      <w:pPr>
        <w:spacing w:before="200" w:after="100" w:line="276" w:lineRule="auto"/>
      </w:pPr>
      <w:r>
        <w:rPr>
          <w:b/>
          <w:color w:val="504028"/>
          <w:sz w:val="26"/>
        </w:rPr>
        <w:t>1. Pārzinis</w:t>
      </w:r>
    </w:p>
    <w:p>
      <w:pPr>
        <w:spacing w:before="0" w:after="120" w:line="276" w:lineRule="auto"/>
      </w:pPr>
      <w:r>
        <w:rPr>
          <w:b/>
        </w:rPr>
        <w:t>SIA Laury</w:t>
        <w:br/>
      </w:r>
      <w:r>
        <w:t>Reģ. Nr.: 40203321067</w:t>
        <w:br/>
      </w:r>
      <w:r>
        <w:t>PVN Nr.: LV40203321067</w:t>
        <w:br/>
      </w:r>
      <w:r>
        <w:t>Juridiskā adrese: Tukums, Celtnieku iela 8-24</w:t>
        <w:br/>
      </w:r>
      <w:r>
        <w:t>Faktiskā adrese: Rīga, Miera iela 19, LV-1001</w:t>
        <w:br/>
      </w:r>
      <w:r>
        <w:t>Bankas konts: EUR LV47PARX0027071750002</w:t>
        <w:br/>
      </w:r>
      <w:r>
        <w:t>Banka: Citadele</w:t>
      </w:r>
    </w:p>
    <w:p>
      <w:pPr>
        <w:spacing w:before="200" w:after="100" w:line="276" w:lineRule="auto"/>
      </w:pPr>
      <w:r>
        <w:rPr>
          <w:b/>
          <w:color w:val="504028"/>
          <w:sz w:val="26"/>
        </w:rPr>
        <w:t>2. Kas ir sīkdatnes</w:t>
      </w:r>
    </w:p>
    <w:p>
      <w:pPr>
        <w:spacing w:before="0" w:after="100" w:line="276" w:lineRule="auto"/>
      </w:pPr>
      <w:r>
        <w:t>Sīkdatnes ir nelieli teksta faili, kas tiek saglabāti lietotāja ierīcē, kad tiek apmeklēta mājaslapa. Tās palīdz nodrošināt mājaslapas darbību, uzlabot lietošanas pieredzi, analizēt mājaslapas apmeklējumu un atsevišķos gadījumos piedāvāt personalizētu saturu vai reklāmu.</w:t>
      </w:r>
    </w:p>
    <w:p>
      <w:pPr>
        <w:spacing w:before="200" w:after="100" w:line="276" w:lineRule="auto"/>
      </w:pPr>
      <w:r>
        <w:rPr>
          <w:b/>
          <w:color w:val="504028"/>
          <w:sz w:val="26"/>
        </w:rPr>
        <w:t>3. Kādiem nolūkiem mēs izmantojam sīkdatnes</w:t>
      </w:r>
    </w:p>
    <w:p>
      <w:pPr>
        <w:pStyle w:val="ListBullet"/>
        <w:spacing w:before="0" w:after="40" w:line="276" w:lineRule="auto"/>
      </w:pPr>
      <w:r>
        <w:t>lai nodrošinātu mājaslapas tehnisku darbību un drošību;</w:t>
      </w:r>
    </w:p>
    <w:p>
      <w:pPr>
        <w:pStyle w:val="ListBullet"/>
        <w:spacing w:before="0" w:after="40" w:line="276" w:lineRule="auto"/>
      </w:pPr>
      <w:r>
        <w:t>lai saglabātu lietotāja izvēles, piemēram, valodu vai sīkdatņu iestatījumus;</w:t>
      </w:r>
    </w:p>
    <w:p>
      <w:pPr>
        <w:pStyle w:val="ListBullet"/>
        <w:spacing w:before="0" w:after="40" w:line="276" w:lineRule="auto"/>
      </w:pPr>
      <w:r>
        <w:t>lai analizētu mājaslapas apmeklējumu un uzlabotu tās saturu un funkcionalitāti;</w:t>
      </w:r>
    </w:p>
    <w:p>
      <w:pPr>
        <w:pStyle w:val="ListBullet"/>
        <w:spacing w:before="0" w:after="40" w:line="276" w:lineRule="auto"/>
      </w:pPr>
      <w:r>
        <w:t>lai nepieciešamības gadījumā nodrošinātu mārketinga vai sociālo tīklu funkcijas.</w:t>
      </w:r>
    </w:p>
    <w:p>
      <w:pPr>
        <w:spacing w:before="200" w:after="100" w:line="276" w:lineRule="auto"/>
      </w:pPr>
      <w:r>
        <w:rPr>
          <w:b/>
          <w:color w:val="504028"/>
          <w:sz w:val="26"/>
        </w:rPr>
        <w:t>4. Sīkdatņu veidi</w:t>
      </w:r>
    </w:p>
    <w:p>
      <w:pPr>
        <w:spacing w:before="0" w:after="100" w:line="276" w:lineRule="auto"/>
      </w:pPr>
      <w:r>
        <w:t>Mājaslapā var tikt izmantotas šādas sīkdatņu kategorijas:</w:t>
      </w:r>
    </w:p>
    <w:tbl>
      <w:tblPr>
        <w:tblStyle w:val="TableGrid"/>
        <w:tblW w:type="auto" w:w="0"/>
        <w:tblLayout w:type="fixed"/>
        <w:tblLook w:firstColumn="1" w:firstRow="1" w:lastColumn="0" w:lastRow="0" w:noHBand="0" w:noVBand="1" w:val="04A0"/>
      </w:tblPr>
      <w:tblGrid>
        <w:gridCol w:w="2948"/>
        <w:gridCol w:w="5896"/>
      </w:tblGrid>
      <w:tr>
        <w:trPr/>
        <w:tc>
          <w:tcPr>
            <w:tcW w:type="dxa" w:w="4873"/>
            <w:tcMar>
              <w:top w:w="120" w:type="dxa"/>
              <w:left w:w="120" w:type="dxa"/>
              <w:bottom w:w="100" w:type="dxa"/>
              <w:right w:w="120" w:type="dxa"/>
            </w:tcMar>
          </w:tcPr>
          <w:p>
            <w:pPr>
              <w:spacing w:before="0" w:after="40" w:line="276" w:lineRule="auto"/>
            </w:pPr>
            <w:r>
              <w:rPr>
                <w:b/>
              </w:rPr>
              <w:t>Sīkdatņu veids</w:t>
            </w:r>
          </w:p>
        </w:tc>
        <w:tc>
          <w:tcPr>
            <w:tcW w:type="dxa" w:w="4873"/>
            <w:tcMar>
              <w:top w:w="120" w:type="dxa"/>
              <w:left w:w="120" w:type="dxa"/>
              <w:bottom w:w="100" w:type="dxa"/>
              <w:right w:w="120" w:type="dxa"/>
            </w:tcMar>
          </w:tcPr>
          <w:p>
            <w:pPr>
              <w:spacing w:before="0" w:after="40" w:line="276" w:lineRule="auto"/>
            </w:pPr>
            <w:r>
              <w:rPr>
                <w:b/>
              </w:rPr>
              <w:t>Apraksts</w:t>
            </w:r>
          </w:p>
        </w:tc>
      </w:tr>
      <w:tr>
        <w:trPr/>
        <w:tc>
          <w:tcPr>
            <w:tcW w:type="dxa" w:w="2948"/>
            <w:tcMar>
              <w:top w:w="120" w:type="dxa"/>
              <w:left w:w="120" w:type="dxa"/>
              <w:bottom w:w="100" w:type="dxa"/>
              <w:right w:w="120" w:type="dxa"/>
            </w:tcMar>
          </w:tcPr>
          <w:p>
            <w:pPr>
              <w:spacing w:before="0" w:after="40" w:line="276" w:lineRule="auto"/>
            </w:pPr>
            <w:r>
              <w:t>Nepieciešamās sīkdatnes</w:t>
            </w:r>
          </w:p>
        </w:tc>
        <w:tc>
          <w:tcPr>
            <w:tcW w:type="dxa" w:w="5896"/>
            <w:tcMar>
              <w:top w:w="120" w:type="dxa"/>
              <w:left w:w="120" w:type="dxa"/>
              <w:bottom w:w="100" w:type="dxa"/>
              <w:right w:w="120" w:type="dxa"/>
            </w:tcMar>
          </w:tcPr>
          <w:p>
            <w:pPr>
              <w:spacing w:before="0" w:after="40" w:line="276" w:lineRule="auto"/>
            </w:pPr>
            <w:r>
              <w:t>Nodrošina mājaslapas pamatfunkcijas, piemēram, lapas darbību, drošību un formu nosūtīšanu.</w:t>
            </w:r>
          </w:p>
        </w:tc>
      </w:tr>
      <w:tr>
        <w:trPr/>
        <w:tc>
          <w:tcPr>
            <w:tcW w:type="dxa" w:w="2948"/>
            <w:tcMar>
              <w:top w:w="120" w:type="dxa"/>
              <w:left w:w="120" w:type="dxa"/>
              <w:bottom w:w="100" w:type="dxa"/>
              <w:right w:w="120" w:type="dxa"/>
            </w:tcMar>
          </w:tcPr>
          <w:p>
            <w:pPr>
              <w:spacing w:before="0" w:after="40" w:line="276" w:lineRule="auto"/>
            </w:pPr>
            <w:r>
              <w:t>Preferenču sīkdatnes</w:t>
            </w:r>
          </w:p>
        </w:tc>
        <w:tc>
          <w:tcPr>
            <w:tcW w:type="dxa" w:w="5896"/>
            <w:tcMar>
              <w:top w:w="120" w:type="dxa"/>
              <w:left w:w="120" w:type="dxa"/>
              <w:bottom w:w="100" w:type="dxa"/>
              <w:right w:w="120" w:type="dxa"/>
            </w:tcMar>
          </w:tcPr>
          <w:p>
            <w:pPr>
              <w:spacing w:before="0" w:after="40" w:line="276" w:lineRule="auto"/>
            </w:pPr>
            <w:r>
              <w:t>Atceras lietotāja izvēles, piemēram, valodu, reģionu vai citus iestatījumus.</w:t>
            </w:r>
          </w:p>
        </w:tc>
      </w:tr>
      <w:tr>
        <w:trPr/>
        <w:tc>
          <w:tcPr>
            <w:tcW w:type="dxa" w:w="2948"/>
            <w:tcMar>
              <w:top w:w="120" w:type="dxa"/>
              <w:left w:w="120" w:type="dxa"/>
              <w:bottom w:w="100" w:type="dxa"/>
              <w:right w:w="120" w:type="dxa"/>
            </w:tcMar>
          </w:tcPr>
          <w:p>
            <w:pPr>
              <w:spacing w:before="0" w:after="40" w:line="276" w:lineRule="auto"/>
            </w:pPr>
            <w:r>
              <w:t>Analītiskās sīkdatnes</w:t>
            </w:r>
          </w:p>
        </w:tc>
        <w:tc>
          <w:tcPr>
            <w:tcW w:type="dxa" w:w="5896"/>
            <w:tcMar>
              <w:top w:w="120" w:type="dxa"/>
              <w:left w:w="120" w:type="dxa"/>
              <w:bottom w:w="100" w:type="dxa"/>
              <w:right w:w="120" w:type="dxa"/>
            </w:tcMar>
          </w:tcPr>
          <w:p>
            <w:pPr>
              <w:spacing w:before="0" w:after="40" w:line="276" w:lineRule="auto"/>
            </w:pPr>
            <w:r>
              <w:t>Palīdz saprast, kā lietotāji izmanto mājaslapu, lai mēs varētu uzlabot saturu un lietojamību.</w:t>
            </w:r>
          </w:p>
        </w:tc>
      </w:tr>
      <w:tr>
        <w:trPr/>
        <w:tc>
          <w:tcPr>
            <w:tcW w:type="dxa" w:w="2948"/>
            <w:tcMar>
              <w:top w:w="120" w:type="dxa"/>
              <w:left w:w="120" w:type="dxa"/>
              <w:bottom w:w="100" w:type="dxa"/>
              <w:right w:w="120" w:type="dxa"/>
            </w:tcMar>
          </w:tcPr>
          <w:p>
            <w:pPr>
              <w:spacing w:before="0" w:after="40" w:line="276" w:lineRule="auto"/>
            </w:pPr>
            <w:r>
              <w:t>Mārketinga sīkdatnes</w:t>
            </w:r>
          </w:p>
        </w:tc>
        <w:tc>
          <w:tcPr>
            <w:tcW w:type="dxa" w:w="5896"/>
            <w:tcMar>
              <w:top w:w="120" w:type="dxa"/>
              <w:left w:w="120" w:type="dxa"/>
              <w:bottom w:w="100" w:type="dxa"/>
              <w:right w:w="120" w:type="dxa"/>
            </w:tcMar>
          </w:tcPr>
          <w:p>
            <w:pPr>
              <w:spacing w:before="0" w:after="40" w:line="276" w:lineRule="auto"/>
            </w:pPr>
            <w:r>
              <w:t>Var tikt izmantotas, lai rādītu lietotājam atbilstošāku saturu vai reklāmu citās platformās.</w:t>
            </w:r>
          </w:p>
        </w:tc>
      </w:tr>
    </w:tbl>
    <w:p/>
    <w:p>
      <w:pPr>
        <w:spacing w:before="200" w:after="100" w:line="276" w:lineRule="auto"/>
      </w:pPr>
      <w:r>
        <w:rPr>
          <w:b/>
          <w:color w:val="504028"/>
          <w:sz w:val="26"/>
        </w:rPr>
        <w:t>5. Cik ilgi sīkdatnes tiek glabātas</w:t>
      </w:r>
    </w:p>
    <w:p>
      <w:pPr>
        <w:spacing w:before="0" w:after="100" w:line="276" w:lineRule="auto"/>
      </w:pPr>
      <w:r>
        <w:t>Sīkdatnes var būt sesijas sīkdatnes, kas tiek dzēstas pēc pārlūkprogrammas aizvēršanas, vai pastāvīgās sīkdatnes, kas ierīcē tiek glabātas noteiktu laiku vai līdz brīdim, kad lietotājs tās dzēš.</w:t>
      </w:r>
    </w:p>
    <w:p>
      <w:pPr>
        <w:spacing w:before="200" w:after="100" w:line="276" w:lineRule="auto"/>
      </w:pPr>
      <w:r>
        <w:rPr>
          <w:b/>
          <w:color w:val="504028"/>
          <w:sz w:val="26"/>
        </w:rPr>
        <w:t>6. Trešo pušu sīkdatnes</w:t>
      </w:r>
    </w:p>
    <w:p>
      <w:pPr>
        <w:spacing w:before="0" w:after="100" w:line="276" w:lineRule="auto"/>
      </w:pPr>
      <w:r>
        <w:t>Atsevišķos gadījumos mājaslapā var tikt izmantoti trešo pušu pakalpojumi, piemēram, statistikas rīki, sociālo tīklu spraudņi vai maksājumu risinājumi. Šie pakalpojumu sniedzēji var izmantot savas sīkdatnes saskaņā ar savām privātuma un sīkdatņu politikām.</w:t>
      </w:r>
    </w:p>
    <w:p>
      <w:pPr>
        <w:spacing w:before="200" w:after="100" w:line="276" w:lineRule="auto"/>
      </w:pPr>
      <w:r>
        <w:rPr>
          <w:b/>
          <w:color w:val="504028"/>
          <w:sz w:val="26"/>
        </w:rPr>
        <w:t>7. Kā pārvaldīt sīkdatnes</w:t>
      </w:r>
    </w:p>
    <w:p>
      <w:pPr>
        <w:spacing w:before="0" w:after="100" w:line="276" w:lineRule="auto"/>
      </w:pPr>
      <w:r>
        <w:t>Lietotājs var pārvaldīt vai dzēst sīkdatnes savā pārlūkprogrammā, kā arī izvēlēties, kurām sīkdatņu kategorijām piekrīt mājaslapas sīkdatņu paziņojumā. Jāņem vērā, ka nepieciešamo sīkdatņu atspējošana var ietekmēt mājaslapas darbību.</w:t>
      </w:r>
    </w:p>
    <w:p>
      <w:pPr>
        <w:spacing w:before="200" w:after="100" w:line="276" w:lineRule="auto"/>
      </w:pPr>
      <w:r>
        <w:rPr>
          <w:b/>
          <w:color w:val="504028"/>
          <w:sz w:val="26"/>
        </w:rPr>
        <w:t>8. Izmaiņas politikā</w:t>
      </w:r>
    </w:p>
    <w:p>
      <w:pPr>
        <w:spacing w:before="0" w:after="100" w:line="276" w:lineRule="auto"/>
      </w:pPr>
      <w:r>
        <w:t>SIA Laury patur tiesības jebkurā laikā veikt izmaiņas šajā sīkdatņu politikā. Aktuālā versija vienmēr tiek publicēta mājaslapā.</w:t>
      </w:r>
    </w:p>
    <w:p>
      <w:pPr>
        <w:spacing w:before="200" w:after="100" w:line="276" w:lineRule="auto"/>
      </w:pPr>
      <w:r>
        <w:rPr>
          <w:b/>
          <w:color w:val="504028"/>
          <w:sz w:val="26"/>
        </w:rPr>
        <w:t>9. Kontaktinformācija</w:t>
      </w:r>
    </w:p>
    <w:p>
      <w:pPr>
        <w:spacing w:before="0" w:after="100" w:line="276" w:lineRule="auto"/>
      </w:pPr>
      <w:r>
        <w:t>Jautājumu gadījumā par sīkdatņu izmantošanu vai personas datu apstrādi lūdzam sazināties ar SIA Laury, izmantojot mājaslapā norādīto kontaktinformāciju.</w:t>
      </w:r>
    </w:p>
    <w:sectPr w:rsidR="00FC693F" w:rsidRPr="0006063C" w:rsidSect="00034616">
      <w:pgSz w:w="12240" w:h="15840"/>
      <w:pgMar w:top="1247"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